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95C" w:rsidRPr="006C7B1D" w:rsidRDefault="00D8107B" w:rsidP="00D8107B">
      <w:pPr>
        <w:jc w:val="center"/>
        <w:rPr>
          <w:sz w:val="28"/>
          <w:szCs w:val="28"/>
        </w:rPr>
      </w:pPr>
      <w:r w:rsidRPr="006C7B1D">
        <w:rPr>
          <w:rFonts w:hint="eastAsia"/>
          <w:sz w:val="28"/>
          <w:szCs w:val="28"/>
        </w:rPr>
        <w:t xml:space="preserve">平成２７年度　</w:t>
      </w:r>
      <w:r w:rsidR="00836A3D" w:rsidRPr="006C7B1D">
        <w:rPr>
          <w:rFonts w:hint="eastAsia"/>
          <w:sz w:val="28"/>
          <w:szCs w:val="28"/>
        </w:rPr>
        <w:t>関西指導者セミナー発表要旨</w:t>
      </w:r>
    </w:p>
    <w:p w:rsidR="00836A3D" w:rsidRPr="00D8107B" w:rsidRDefault="00836A3D">
      <w:pPr>
        <w:rPr>
          <w:sz w:val="24"/>
          <w:szCs w:val="24"/>
        </w:rPr>
      </w:pPr>
    </w:p>
    <w:p w:rsidR="003D24AF" w:rsidRPr="00D8107B" w:rsidRDefault="003D24AF">
      <w:pPr>
        <w:rPr>
          <w:sz w:val="24"/>
          <w:szCs w:val="24"/>
        </w:rPr>
      </w:pPr>
      <w:r w:rsidRPr="00D8107B">
        <w:rPr>
          <w:rFonts w:hint="eastAsia"/>
          <w:sz w:val="24"/>
          <w:szCs w:val="24"/>
        </w:rPr>
        <w:t>招待講演</w:t>
      </w:r>
    </w:p>
    <w:p w:rsidR="003D24AF" w:rsidRDefault="003D24AF"/>
    <w:p w:rsidR="003D24AF" w:rsidRPr="00D8107B" w:rsidRDefault="003D24AF">
      <w:pPr>
        <w:rPr>
          <w:rFonts w:ascii="Times New Roman" w:hAnsi="Times New Roman" w:cs="Times New Roman"/>
          <w:sz w:val="24"/>
          <w:szCs w:val="24"/>
        </w:rPr>
      </w:pPr>
      <w:r w:rsidRPr="00D8107B">
        <w:rPr>
          <w:rFonts w:ascii="Times New Roman" w:hAnsi="Times New Roman" w:cs="Times New Roman"/>
          <w:sz w:val="24"/>
          <w:szCs w:val="24"/>
        </w:rPr>
        <w:t>Dr. Curtis Kelly (</w:t>
      </w:r>
      <w:r w:rsidRPr="00D8107B">
        <w:rPr>
          <w:rFonts w:ascii="Times New Roman" w:hAnsi="Times New Roman" w:cs="Times New Roman"/>
          <w:sz w:val="24"/>
          <w:szCs w:val="24"/>
        </w:rPr>
        <w:t>関西大学教授</w:t>
      </w:r>
      <w:r w:rsidRPr="00D8107B">
        <w:rPr>
          <w:rFonts w:ascii="Times New Roman" w:hAnsi="Times New Roman" w:cs="Times New Roman"/>
          <w:sz w:val="24"/>
          <w:szCs w:val="24"/>
        </w:rPr>
        <w:t>)</w:t>
      </w:r>
    </w:p>
    <w:p w:rsidR="003D24AF" w:rsidRPr="00D8107B" w:rsidRDefault="003D24AF">
      <w:pPr>
        <w:rPr>
          <w:rFonts w:ascii="Times New Roman" w:hAnsi="Times New Roman" w:cs="Times New Roman"/>
          <w:sz w:val="24"/>
          <w:szCs w:val="24"/>
        </w:rPr>
      </w:pPr>
    </w:p>
    <w:p w:rsidR="00D8107B" w:rsidRPr="00D8107B" w:rsidRDefault="00D8107B" w:rsidP="00D8107B">
      <w:pPr>
        <w:rPr>
          <w:rFonts w:ascii="Times New Roman" w:hAnsi="Times New Roman" w:cs="Times New Roman"/>
          <w:b/>
          <w:sz w:val="24"/>
          <w:szCs w:val="24"/>
        </w:rPr>
      </w:pPr>
      <w:r w:rsidRPr="00D8107B">
        <w:rPr>
          <w:rFonts w:ascii="Times New Roman" w:hAnsi="Times New Roman" w:cs="Times New Roman"/>
          <w:b/>
          <w:sz w:val="24"/>
          <w:szCs w:val="24"/>
        </w:rPr>
        <w:t xml:space="preserve">The Neuroscience of Stories and Why our Brains Love Them  </w:t>
      </w:r>
    </w:p>
    <w:p w:rsidR="00D8107B" w:rsidRDefault="00D8107B" w:rsidP="00D8107B">
      <w:pPr>
        <w:rPr>
          <w:rFonts w:ascii="Times New Roman" w:hAnsi="Times New Roman" w:cs="Times New Roman"/>
          <w:sz w:val="24"/>
          <w:szCs w:val="24"/>
        </w:rPr>
      </w:pPr>
    </w:p>
    <w:p w:rsidR="00836A3D" w:rsidRPr="00D8107B" w:rsidRDefault="00836A3D" w:rsidP="00D8107B">
      <w:pPr>
        <w:rPr>
          <w:rFonts w:ascii="Times New Roman" w:hAnsi="Times New Roman" w:cs="Times New Roman"/>
          <w:sz w:val="24"/>
          <w:szCs w:val="24"/>
        </w:rPr>
      </w:pPr>
      <w:r w:rsidRPr="00D8107B">
        <w:rPr>
          <w:rFonts w:ascii="Times New Roman" w:hAnsi="Times New Roman" w:cs="Times New Roman"/>
          <w:sz w:val="24"/>
          <w:szCs w:val="24"/>
        </w:rPr>
        <w:t>Abstracts</w:t>
      </w:r>
    </w:p>
    <w:p w:rsidR="003D24AF" w:rsidRPr="00D8107B" w:rsidRDefault="003D24AF" w:rsidP="00836A3D">
      <w:pPr>
        <w:rPr>
          <w:rFonts w:ascii="Times New Roman" w:hAnsi="Times New Roman" w:cs="Times New Roman"/>
          <w:sz w:val="24"/>
          <w:szCs w:val="24"/>
        </w:rPr>
      </w:pPr>
    </w:p>
    <w:p w:rsidR="00836A3D" w:rsidRPr="00D8107B" w:rsidRDefault="00836A3D" w:rsidP="00A10CE6">
      <w:pPr>
        <w:spacing w:line="276" w:lineRule="auto"/>
        <w:rPr>
          <w:rFonts w:ascii="Times New Roman" w:hAnsi="Times New Roman" w:cs="Times New Roman"/>
          <w:sz w:val="24"/>
          <w:szCs w:val="24"/>
        </w:rPr>
      </w:pPr>
      <w:r w:rsidRPr="00D8107B">
        <w:rPr>
          <w:rFonts w:ascii="Times New Roman" w:hAnsi="Times New Roman" w:cs="Times New Roman"/>
          <w:sz w:val="24"/>
          <w:szCs w:val="24"/>
        </w:rPr>
        <w:t xml:space="preserve">Stories, the original Wikipedia, are the oldest tool of teaching, and still the most potent.  For most of human existence, we have used stories to share information and educate our offspring about the wiles of the world.  It is no wonder our brains have evolved to process stories so much more effectively (or did stories evolve to fit our brains?) than other formats of information delivery. In fact, stories do more than allow information transfer. They cause parallel activation of the insula in both speaker and listener that enable a kind of brain linking.  </w:t>
      </w:r>
    </w:p>
    <w:p w:rsidR="00836A3D" w:rsidRPr="00D8107B" w:rsidRDefault="00836A3D" w:rsidP="00A10CE6">
      <w:pPr>
        <w:spacing w:line="276" w:lineRule="auto"/>
        <w:rPr>
          <w:rFonts w:ascii="Times New Roman" w:hAnsi="Times New Roman" w:cs="Times New Roman"/>
          <w:sz w:val="24"/>
          <w:szCs w:val="24"/>
        </w:rPr>
      </w:pPr>
    </w:p>
    <w:p w:rsidR="00836A3D" w:rsidRPr="00D8107B" w:rsidRDefault="00836A3D" w:rsidP="00A10CE6">
      <w:pPr>
        <w:spacing w:line="276" w:lineRule="auto"/>
        <w:rPr>
          <w:rFonts w:ascii="Times New Roman" w:hAnsi="Times New Roman" w:cs="Times New Roman"/>
          <w:sz w:val="24"/>
          <w:szCs w:val="24"/>
        </w:rPr>
      </w:pPr>
      <w:r w:rsidRPr="00D8107B">
        <w:rPr>
          <w:rFonts w:ascii="Times New Roman" w:hAnsi="Times New Roman" w:cs="Times New Roman"/>
          <w:sz w:val="24"/>
          <w:szCs w:val="24"/>
        </w:rPr>
        <w:t xml:space="preserve">Likewise, no other format of verbal transfer results in as high a retention rate.  A study in London found that use of statistics in a presentation led to a retention rate of 5-10% at best, but by adding a story, retention more than tripled.  With use of stories alone, the retention rate soars to more than tenfold. This is no surprise if you consider the neurotransmitters stories release: serotonin, dopamine, and oxytocin.  These chemicals control mood, deeper learning and interpersonal bonding. In fact, psychologists believe that stories are so deeply integrated into our memory system that they form the basis for concept of self.  </w:t>
      </w:r>
    </w:p>
    <w:p w:rsidR="00836A3D" w:rsidRPr="00D8107B" w:rsidRDefault="00836A3D" w:rsidP="00A10CE6">
      <w:pPr>
        <w:spacing w:line="276" w:lineRule="auto"/>
        <w:rPr>
          <w:rFonts w:ascii="Times New Roman" w:hAnsi="Times New Roman" w:cs="Times New Roman"/>
          <w:sz w:val="24"/>
          <w:szCs w:val="24"/>
        </w:rPr>
      </w:pPr>
    </w:p>
    <w:p w:rsidR="00836A3D" w:rsidRPr="00D8107B" w:rsidRDefault="00836A3D" w:rsidP="00A10CE6">
      <w:pPr>
        <w:spacing w:line="276" w:lineRule="auto"/>
        <w:rPr>
          <w:rFonts w:ascii="Times New Roman" w:hAnsi="Times New Roman" w:cs="Times New Roman"/>
          <w:sz w:val="24"/>
          <w:szCs w:val="24"/>
        </w:rPr>
      </w:pPr>
      <w:r w:rsidRPr="00D8107B">
        <w:rPr>
          <w:rFonts w:ascii="Times New Roman" w:hAnsi="Times New Roman" w:cs="Times New Roman"/>
          <w:sz w:val="24"/>
          <w:szCs w:val="24"/>
        </w:rPr>
        <w:t xml:space="preserve">What a wonderful tool for language teaching stories can be.  The presenter will provide theory and evidence as to why they are so effective, delve into the neuroscience that explains their power, discuss techniques for using stories in the classroom, including ER and Rex </w:t>
      </w:r>
      <w:proofErr w:type="spellStart"/>
      <w:r w:rsidRPr="00D8107B">
        <w:rPr>
          <w:rFonts w:ascii="Times New Roman" w:hAnsi="Times New Roman" w:cs="Times New Roman"/>
          <w:sz w:val="24"/>
          <w:szCs w:val="24"/>
        </w:rPr>
        <w:t>Tanimoto’s</w:t>
      </w:r>
      <w:proofErr w:type="spellEnd"/>
      <w:r w:rsidRPr="00D8107B">
        <w:rPr>
          <w:rFonts w:ascii="Times New Roman" w:hAnsi="Times New Roman" w:cs="Times New Roman"/>
          <w:sz w:val="24"/>
          <w:szCs w:val="24"/>
        </w:rPr>
        <w:t xml:space="preserve"> Digi-Tales.  He will also shower the audience with powerful stories from his vast collection.</w:t>
      </w:r>
    </w:p>
    <w:p w:rsidR="00836A3D" w:rsidRPr="00D8107B" w:rsidRDefault="00836A3D" w:rsidP="00A10CE6">
      <w:pPr>
        <w:spacing w:line="276" w:lineRule="auto"/>
        <w:rPr>
          <w:rFonts w:ascii="Times New Roman" w:hAnsi="Times New Roman" w:cs="Times New Roman"/>
          <w:sz w:val="24"/>
          <w:szCs w:val="24"/>
        </w:rPr>
      </w:pPr>
      <w:r w:rsidRPr="00D8107B">
        <w:rPr>
          <w:rFonts w:ascii="Times New Roman" w:hAnsi="Times New Roman" w:cs="Times New Roman"/>
          <w:sz w:val="24"/>
          <w:szCs w:val="24"/>
        </w:rPr>
        <w:t xml:space="preserve"> </w:t>
      </w:r>
    </w:p>
    <w:p w:rsidR="00836A3D" w:rsidRPr="00D8107B" w:rsidRDefault="00836A3D" w:rsidP="00A10CE6">
      <w:pPr>
        <w:spacing w:line="276" w:lineRule="auto"/>
        <w:rPr>
          <w:rFonts w:ascii="Times New Roman" w:hAnsi="Times New Roman" w:cs="Times New Roman"/>
          <w:sz w:val="24"/>
          <w:szCs w:val="24"/>
        </w:rPr>
      </w:pPr>
      <w:r w:rsidRPr="00D8107B">
        <w:rPr>
          <w:rFonts w:ascii="Times New Roman" w:hAnsi="Times New Roman" w:cs="Times New Roman"/>
          <w:sz w:val="24"/>
          <w:szCs w:val="24"/>
        </w:rPr>
        <w:t>Bio</w:t>
      </w:r>
      <w:r w:rsidR="00A10CE6">
        <w:rPr>
          <w:rFonts w:ascii="Times New Roman" w:hAnsi="Times New Roman" w:cs="Times New Roman" w:hint="eastAsia"/>
          <w:sz w:val="24"/>
          <w:szCs w:val="24"/>
        </w:rPr>
        <w:t xml:space="preserve"> data</w:t>
      </w:r>
    </w:p>
    <w:p w:rsidR="00836A3D" w:rsidRPr="00D8107B" w:rsidRDefault="00836A3D" w:rsidP="00A10CE6">
      <w:pPr>
        <w:spacing w:line="276" w:lineRule="auto"/>
        <w:rPr>
          <w:rFonts w:ascii="Times New Roman" w:hAnsi="Times New Roman" w:cs="Times New Roman"/>
          <w:sz w:val="24"/>
          <w:szCs w:val="24"/>
        </w:rPr>
      </w:pPr>
      <w:r w:rsidRPr="00D8107B">
        <w:rPr>
          <w:rFonts w:ascii="Times New Roman" w:hAnsi="Times New Roman" w:cs="Times New Roman"/>
          <w:sz w:val="24"/>
          <w:szCs w:val="24"/>
        </w:rPr>
        <w:t xml:space="preserve"> </w:t>
      </w:r>
    </w:p>
    <w:p w:rsidR="00836A3D" w:rsidRPr="00D8107B" w:rsidRDefault="00836A3D" w:rsidP="00A10CE6">
      <w:pPr>
        <w:spacing w:line="276" w:lineRule="auto"/>
        <w:rPr>
          <w:rFonts w:ascii="Times New Roman" w:hAnsi="Times New Roman" w:cs="Times New Roman"/>
          <w:sz w:val="24"/>
          <w:szCs w:val="24"/>
        </w:rPr>
      </w:pPr>
      <w:r w:rsidRPr="00D8107B">
        <w:rPr>
          <w:rFonts w:ascii="Times New Roman" w:hAnsi="Times New Roman" w:cs="Times New Roman"/>
          <w:sz w:val="24"/>
          <w:szCs w:val="24"/>
        </w:rPr>
        <w:t>Popular speaker and writer, Curtis Kelly (</w:t>
      </w:r>
      <w:proofErr w:type="spellStart"/>
      <w:r w:rsidRPr="00D8107B">
        <w:rPr>
          <w:rFonts w:ascii="Times New Roman" w:hAnsi="Times New Roman" w:cs="Times New Roman"/>
          <w:sz w:val="24"/>
          <w:szCs w:val="24"/>
        </w:rPr>
        <w:t>EdD</w:t>
      </w:r>
      <w:proofErr w:type="spellEnd"/>
      <w:r w:rsidRPr="00D8107B">
        <w:rPr>
          <w:rFonts w:ascii="Times New Roman" w:hAnsi="Times New Roman" w:cs="Times New Roman"/>
          <w:sz w:val="24"/>
          <w:szCs w:val="24"/>
        </w:rPr>
        <w:t xml:space="preserve">), is a Professor of English at Kansai University in Japan. Since his life mission is the “relieve the suffering of the classroom,” </w:t>
      </w:r>
      <w:r w:rsidR="00A10CE6">
        <w:rPr>
          <w:rFonts w:ascii="Times New Roman" w:hAnsi="Times New Roman" w:cs="Times New Roman" w:hint="eastAsia"/>
          <w:sz w:val="24"/>
          <w:szCs w:val="24"/>
        </w:rPr>
        <w:t xml:space="preserve">he </w:t>
      </w:r>
      <w:r w:rsidRPr="00D8107B">
        <w:rPr>
          <w:rFonts w:ascii="Times New Roman" w:hAnsi="Times New Roman" w:cs="Times New Roman"/>
          <w:sz w:val="24"/>
          <w:szCs w:val="24"/>
        </w:rPr>
        <w:t>has spent most of his life developing learner-centered approaches for “3L” English students, students with low ability, low confidence, and low motivation. He has written over 30 books, including Significant Scribbles (Longman), Active Skills for Communication (Cengage), and Writing from Within (Cambridge). He has also made about 400 presentations on neuroscience, adult education, motivation, and teaching writing.</w:t>
      </w:r>
    </w:p>
    <w:p w:rsidR="00836A3D" w:rsidRDefault="00836A3D" w:rsidP="00A10CE6">
      <w:pPr>
        <w:spacing w:line="276" w:lineRule="auto"/>
      </w:pPr>
    </w:p>
    <w:p w:rsidR="00836A3D" w:rsidRDefault="00836A3D" w:rsidP="00A10CE6">
      <w:pPr>
        <w:spacing w:line="276" w:lineRule="auto"/>
      </w:pPr>
      <w:r>
        <w:t xml:space="preserve"> </w:t>
      </w:r>
    </w:p>
    <w:p w:rsidR="006C7B1D" w:rsidRDefault="006C7B1D" w:rsidP="00836A3D"/>
    <w:p w:rsidR="006C7B1D" w:rsidRDefault="006C7B1D" w:rsidP="00836A3D"/>
    <w:p w:rsidR="00C13DBA" w:rsidRDefault="00C13DBA" w:rsidP="00836A3D">
      <w:pPr>
        <w:rPr>
          <w:rFonts w:ascii="Times New Roman" w:hAnsi="Times New Roman" w:cs="Times New Roman"/>
          <w:b/>
          <w:sz w:val="24"/>
          <w:szCs w:val="24"/>
        </w:rPr>
      </w:pPr>
    </w:p>
    <w:p w:rsidR="006C7B1D" w:rsidRDefault="00D8107B" w:rsidP="00836A3D">
      <w:pPr>
        <w:rPr>
          <w:rFonts w:asciiTheme="minorEastAsia" w:hAnsiTheme="minorEastAsia"/>
          <w:sz w:val="24"/>
          <w:szCs w:val="24"/>
        </w:rPr>
      </w:pPr>
      <w:r w:rsidRPr="00D8107B">
        <w:rPr>
          <w:rFonts w:ascii="Times New Roman" w:hAnsi="Times New Roman" w:cs="Times New Roman"/>
          <w:b/>
          <w:sz w:val="24"/>
          <w:szCs w:val="24"/>
        </w:rPr>
        <w:t>「</w:t>
      </w:r>
      <w:r w:rsidRPr="00D8107B">
        <w:rPr>
          <w:rFonts w:ascii="Times New Roman" w:hAnsi="Times New Roman" w:cs="Times New Roman"/>
          <w:b/>
          <w:sz w:val="24"/>
          <w:szCs w:val="24"/>
        </w:rPr>
        <w:t xml:space="preserve">Fluency </w:t>
      </w:r>
      <w:r w:rsidRPr="00D8107B">
        <w:rPr>
          <w:rFonts w:ascii="Times New Roman" w:hAnsi="Times New Roman" w:cs="Times New Roman"/>
          <w:b/>
          <w:sz w:val="24"/>
          <w:szCs w:val="24"/>
        </w:rPr>
        <w:t>と</w:t>
      </w:r>
      <w:r w:rsidRPr="00D8107B">
        <w:rPr>
          <w:rFonts w:ascii="Times New Roman" w:hAnsi="Times New Roman" w:cs="Times New Roman"/>
          <w:b/>
          <w:sz w:val="24"/>
          <w:szCs w:val="24"/>
        </w:rPr>
        <w:t xml:space="preserve">Accuracy </w:t>
      </w:r>
      <w:r w:rsidRPr="00D8107B">
        <w:rPr>
          <w:rFonts w:asciiTheme="minorEastAsia" w:hAnsiTheme="minorEastAsia" w:hint="eastAsia"/>
          <w:b/>
          <w:sz w:val="24"/>
          <w:szCs w:val="24"/>
        </w:rPr>
        <w:t>を向上させる多読の力」</w:t>
      </w:r>
      <w:r>
        <w:rPr>
          <w:rFonts w:asciiTheme="minorEastAsia" w:hAnsiTheme="minorEastAsia" w:hint="eastAsia"/>
          <w:b/>
          <w:sz w:val="24"/>
          <w:szCs w:val="24"/>
        </w:rPr>
        <w:t xml:space="preserve">  </w:t>
      </w:r>
      <w:r w:rsidR="006C7B1D">
        <w:rPr>
          <w:rFonts w:asciiTheme="minorEastAsia" w:hAnsiTheme="minorEastAsia" w:hint="eastAsia"/>
          <w:b/>
          <w:sz w:val="24"/>
          <w:szCs w:val="24"/>
        </w:rPr>
        <w:t xml:space="preserve">　　　　　　　</w:t>
      </w:r>
      <w:r w:rsidRPr="006C7B1D">
        <w:rPr>
          <w:rFonts w:asciiTheme="minorEastAsia" w:hAnsiTheme="minorEastAsia" w:hint="eastAsia"/>
          <w:sz w:val="24"/>
          <w:szCs w:val="24"/>
        </w:rPr>
        <w:t>髙瀬敦子（甲南大学他-非</w:t>
      </w:r>
      <w:r w:rsidRPr="006C7B1D">
        <w:rPr>
          <w:rFonts w:asciiTheme="minorEastAsia" w:hAnsiTheme="minorEastAsia"/>
          <w:sz w:val="24"/>
          <w:szCs w:val="24"/>
        </w:rPr>
        <w:t>）</w:t>
      </w:r>
    </w:p>
    <w:p w:rsidR="00A10CE6" w:rsidRPr="006C7B1D" w:rsidRDefault="00A10CE6" w:rsidP="00836A3D">
      <w:pPr>
        <w:rPr>
          <w:rFonts w:asciiTheme="minorEastAsia" w:hAnsiTheme="minorEastAsia"/>
          <w:sz w:val="24"/>
          <w:szCs w:val="24"/>
        </w:rPr>
      </w:pPr>
    </w:p>
    <w:p w:rsidR="00D8107B" w:rsidRPr="006C7B1D" w:rsidRDefault="00D8107B" w:rsidP="00836A3D">
      <w:pPr>
        <w:rPr>
          <w:rFonts w:asciiTheme="minorEastAsia" w:hAnsiTheme="minorEastAsia"/>
          <w:sz w:val="24"/>
          <w:szCs w:val="24"/>
        </w:rPr>
      </w:pPr>
      <w:r w:rsidRPr="00BA27CE">
        <w:rPr>
          <w:rFonts w:asciiTheme="minorEastAsia" w:hAnsiTheme="minorEastAsia" w:hint="eastAsia"/>
          <w:sz w:val="24"/>
          <w:szCs w:val="24"/>
        </w:rPr>
        <w:t>言語習得には正確さだけでなく流暢さが必要不可欠で</w:t>
      </w:r>
      <w:r w:rsidR="00172729">
        <w:rPr>
          <w:rFonts w:asciiTheme="minorEastAsia" w:hAnsiTheme="minorEastAsia" w:hint="eastAsia"/>
          <w:sz w:val="24"/>
          <w:szCs w:val="24"/>
        </w:rPr>
        <w:t>す。</w:t>
      </w:r>
      <w:r w:rsidR="00BA27CE" w:rsidRPr="00BA27CE">
        <w:rPr>
          <w:rFonts w:asciiTheme="minorEastAsia" w:hAnsiTheme="minorEastAsia" w:hint="eastAsia"/>
          <w:sz w:val="24"/>
          <w:szCs w:val="24"/>
        </w:rPr>
        <w:t>そのためにはまず多読・多聴による</w:t>
      </w:r>
      <w:r w:rsidR="00172729">
        <w:rPr>
          <w:rFonts w:asciiTheme="minorEastAsia" w:hAnsiTheme="minorEastAsia" w:hint="eastAsia"/>
          <w:sz w:val="24"/>
          <w:szCs w:val="24"/>
        </w:rPr>
        <w:t>効果的な</w:t>
      </w:r>
      <w:r w:rsidR="00BA27CE" w:rsidRPr="00BA27CE">
        <w:rPr>
          <w:rFonts w:asciiTheme="minorEastAsia" w:hAnsiTheme="minorEastAsia" w:hint="eastAsia"/>
          <w:sz w:val="24"/>
          <w:szCs w:val="24"/>
        </w:rPr>
        <w:t>大量のインプットを行</w:t>
      </w:r>
      <w:r w:rsidR="00B27226">
        <w:rPr>
          <w:rFonts w:asciiTheme="minorEastAsia" w:hAnsiTheme="minorEastAsia" w:hint="eastAsia"/>
          <w:sz w:val="24"/>
          <w:szCs w:val="24"/>
        </w:rPr>
        <w:t>う必要があります。そうすることにより自動化が起こり、語彙・フレーズ・</w:t>
      </w:r>
      <w:r w:rsidR="006C7B1D">
        <w:rPr>
          <w:rFonts w:asciiTheme="minorEastAsia" w:hAnsiTheme="minorEastAsia" w:hint="eastAsia"/>
          <w:sz w:val="24"/>
          <w:szCs w:val="24"/>
        </w:rPr>
        <w:t>文法・</w:t>
      </w:r>
      <w:r w:rsidR="00B27226">
        <w:rPr>
          <w:rFonts w:asciiTheme="minorEastAsia" w:hAnsiTheme="minorEastAsia" w:hint="eastAsia"/>
          <w:sz w:val="24"/>
          <w:szCs w:val="24"/>
        </w:rPr>
        <w:t>構文が</w:t>
      </w:r>
      <w:r w:rsidR="00BA27CE">
        <w:rPr>
          <w:rFonts w:asciiTheme="minorEastAsia" w:hAnsiTheme="minorEastAsia" w:hint="eastAsia"/>
          <w:sz w:val="24"/>
          <w:szCs w:val="24"/>
        </w:rPr>
        <w:t>定着</w:t>
      </w:r>
      <w:r w:rsidR="00B27226">
        <w:rPr>
          <w:rFonts w:asciiTheme="minorEastAsia" w:hAnsiTheme="minorEastAsia" w:hint="eastAsia"/>
          <w:sz w:val="24"/>
          <w:szCs w:val="24"/>
        </w:rPr>
        <w:t>していき、結果的に</w:t>
      </w:r>
      <w:r w:rsidR="00B27226" w:rsidRPr="00B27226">
        <w:rPr>
          <w:rFonts w:ascii="Times New Roman" w:hAnsi="Times New Roman" w:cs="Times New Roman"/>
          <w:sz w:val="24"/>
          <w:szCs w:val="24"/>
        </w:rPr>
        <w:t>Fluency</w:t>
      </w:r>
      <w:r w:rsidR="00B27226">
        <w:rPr>
          <w:rFonts w:asciiTheme="minorEastAsia" w:hAnsiTheme="minorEastAsia" w:hint="eastAsia"/>
          <w:sz w:val="24"/>
          <w:szCs w:val="24"/>
        </w:rPr>
        <w:t>は勿論のこと、</w:t>
      </w:r>
      <w:r w:rsidR="00B27226" w:rsidRPr="00B27226">
        <w:rPr>
          <w:rFonts w:ascii="Times New Roman" w:hAnsi="Times New Roman" w:cs="Times New Roman"/>
          <w:sz w:val="24"/>
          <w:szCs w:val="24"/>
        </w:rPr>
        <w:t>Accuracy</w:t>
      </w:r>
      <w:r w:rsidR="00B27226">
        <w:rPr>
          <w:rFonts w:asciiTheme="minorEastAsia" w:hAnsiTheme="minorEastAsia" w:hint="eastAsia"/>
          <w:sz w:val="24"/>
          <w:szCs w:val="24"/>
        </w:rPr>
        <w:t>も伸びていくので</w:t>
      </w:r>
      <w:r w:rsidR="006C7B1D">
        <w:rPr>
          <w:rFonts w:asciiTheme="minorEastAsia" w:hAnsiTheme="minorEastAsia" w:hint="eastAsia"/>
          <w:sz w:val="24"/>
          <w:szCs w:val="24"/>
        </w:rPr>
        <w:t>す。</w:t>
      </w:r>
      <w:r w:rsidR="00A10CE6">
        <w:rPr>
          <w:rFonts w:asciiTheme="minorEastAsia" w:hAnsiTheme="minorEastAsia" w:hint="eastAsia"/>
          <w:sz w:val="24"/>
          <w:szCs w:val="24"/>
        </w:rPr>
        <w:t>そのための</w:t>
      </w:r>
      <w:r w:rsidR="00595FD4">
        <w:rPr>
          <w:rFonts w:asciiTheme="minorEastAsia" w:hAnsiTheme="minorEastAsia" w:hint="eastAsia"/>
          <w:sz w:val="24"/>
          <w:szCs w:val="24"/>
        </w:rPr>
        <w:t>効果的な多読実施方法と、簡単な</w:t>
      </w:r>
      <w:r w:rsidR="00595FD4" w:rsidRPr="00595FD4">
        <w:rPr>
          <w:rFonts w:asciiTheme="minorEastAsia" w:hAnsiTheme="minorEastAsia" w:hint="eastAsia"/>
          <w:sz w:val="24"/>
          <w:szCs w:val="24"/>
        </w:rPr>
        <w:t>アクティビティ</w:t>
      </w:r>
      <w:r w:rsidR="00595FD4">
        <w:rPr>
          <w:rFonts w:asciiTheme="minorEastAsia" w:hAnsiTheme="minorEastAsia" w:hint="eastAsia"/>
          <w:sz w:val="24"/>
          <w:szCs w:val="24"/>
        </w:rPr>
        <w:t>を紹介します。</w:t>
      </w:r>
    </w:p>
    <w:p w:rsidR="00836A3D" w:rsidRPr="00D8107B" w:rsidRDefault="00836A3D">
      <w:pPr>
        <w:rPr>
          <w:rFonts w:asciiTheme="minorEastAsia" w:hAnsiTheme="minorEastAsia"/>
          <w:sz w:val="24"/>
          <w:szCs w:val="24"/>
        </w:rPr>
      </w:pPr>
    </w:p>
    <w:p w:rsidR="00836A3D" w:rsidRDefault="00836A3D" w:rsidP="00836A3D">
      <w:pPr>
        <w:rPr>
          <w:rFonts w:asciiTheme="minorEastAsia" w:hAnsiTheme="minorEastAsia" w:cs="ヒラギノ明朝 ProN W3"/>
          <w:kern w:val="0"/>
          <w:sz w:val="24"/>
          <w:szCs w:val="24"/>
        </w:rPr>
      </w:pPr>
      <w:r w:rsidRPr="00D8107B">
        <w:rPr>
          <w:rFonts w:asciiTheme="minorEastAsia" w:hAnsiTheme="minorEastAsia" w:cs="ヒラギノ明朝 ProN W3" w:hint="eastAsia"/>
          <w:b/>
          <w:bCs/>
          <w:kern w:val="0"/>
          <w:sz w:val="24"/>
          <w:szCs w:val="24"/>
        </w:rPr>
        <w:t>「多読用図書：</w:t>
      </w:r>
      <w:r w:rsidRPr="00D8107B">
        <w:rPr>
          <w:rFonts w:asciiTheme="minorEastAsia" w:hAnsiTheme="minorEastAsia" w:cs="ヒラギノ明朝 ProN W3"/>
          <w:b/>
          <w:bCs/>
          <w:kern w:val="0"/>
          <w:sz w:val="24"/>
          <w:szCs w:val="24"/>
        </w:rPr>
        <w:t>100</w:t>
      </w:r>
      <w:r w:rsidRPr="00D8107B">
        <w:rPr>
          <w:rFonts w:asciiTheme="minorEastAsia" w:hAnsiTheme="minorEastAsia" w:cs="ヒラギノ明朝 ProN W3" w:hint="eastAsia"/>
          <w:b/>
          <w:bCs/>
          <w:kern w:val="0"/>
          <w:sz w:val="24"/>
          <w:szCs w:val="24"/>
        </w:rPr>
        <w:t>万語までのモデルコース」</w:t>
      </w:r>
      <w:r w:rsidR="00D8107B">
        <w:rPr>
          <w:rFonts w:asciiTheme="minorEastAsia" w:hAnsiTheme="minorEastAsia" w:cs="ヒラギノ明朝 ProN W3" w:hint="eastAsia"/>
          <w:b/>
          <w:bCs/>
          <w:kern w:val="0"/>
          <w:sz w:val="24"/>
          <w:szCs w:val="24"/>
        </w:rPr>
        <w:t xml:space="preserve">   </w:t>
      </w:r>
      <w:r w:rsidR="006C7B1D">
        <w:rPr>
          <w:rFonts w:asciiTheme="minorEastAsia" w:hAnsiTheme="minorEastAsia" w:cs="ヒラギノ明朝 ProN W3" w:hint="eastAsia"/>
          <w:b/>
          <w:bCs/>
          <w:kern w:val="0"/>
          <w:sz w:val="24"/>
          <w:szCs w:val="24"/>
        </w:rPr>
        <w:t xml:space="preserve">　　　　　　　　　　　</w:t>
      </w:r>
      <w:r w:rsidRPr="00D8107B">
        <w:rPr>
          <w:rFonts w:asciiTheme="minorEastAsia" w:hAnsiTheme="minorEastAsia" w:cs="ヒラギノ明朝 ProN W3" w:hint="eastAsia"/>
          <w:kern w:val="0"/>
          <w:sz w:val="24"/>
          <w:szCs w:val="24"/>
        </w:rPr>
        <w:t>西澤</w:t>
      </w:r>
      <w:r w:rsidRPr="00D8107B">
        <w:rPr>
          <w:rFonts w:asciiTheme="minorEastAsia" w:hAnsiTheme="minorEastAsia" w:cs="ヒラギノ明朝 ProN W3"/>
          <w:kern w:val="0"/>
          <w:sz w:val="24"/>
          <w:szCs w:val="24"/>
        </w:rPr>
        <w:t xml:space="preserve"> </w:t>
      </w:r>
      <w:r w:rsidRPr="00D8107B">
        <w:rPr>
          <w:rFonts w:asciiTheme="minorEastAsia" w:hAnsiTheme="minorEastAsia" w:cs="ヒラギノ明朝 ProN W3" w:hint="eastAsia"/>
          <w:kern w:val="0"/>
          <w:sz w:val="24"/>
          <w:szCs w:val="24"/>
        </w:rPr>
        <w:t>一（豊田高専）</w:t>
      </w:r>
    </w:p>
    <w:p w:rsidR="00A10CE6" w:rsidRDefault="00A10CE6" w:rsidP="00836A3D">
      <w:pPr>
        <w:rPr>
          <w:rFonts w:asciiTheme="minorEastAsia" w:hAnsiTheme="minorEastAsia" w:cs="ヒラギノ明朝 ProN W3"/>
          <w:kern w:val="0"/>
          <w:sz w:val="24"/>
          <w:szCs w:val="24"/>
        </w:rPr>
      </w:pPr>
    </w:p>
    <w:p w:rsidR="00836A3D" w:rsidRPr="00D8107B" w:rsidRDefault="00836A3D" w:rsidP="00836A3D">
      <w:pPr>
        <w:rPr>
          <w:rFonts w:asciiTheme="minorEastAsia" w:hAnsiTheme="minorEastAsia" w:cs="Times New Roman"/>
          <w:sz w:val="24"/>
          <w:szCs w:val="24"/>
        </w:rPr>
      </w:pPr>
      <w:r w:rsidRPr="00D8107B">
        <w:rPr>
          <w:rFonts w:asciiTheme="minorEastAsia" w:hAnsiTheme="minorEastAsia" w:cs="ヒラギノ明朝 ProN W3" w:hint="eastAsia"/>
          <w:kern w:val="0"/>
          <w:sz w:val="24"/>
          <w:szCs w:val="24"/>
        </w:rPr>
        <w:t>初めて多読に取り組む方が、英文のやさしさ、テキストの長さ、ジャンルの適切な英文図書を選択することには、なかなか難しいのが現状です。そこで、ここでは高校生から社会人を主対象に、読書量</w:t>
      </w:r>
      <w:r w:rsidRPr="00D8107B">
        <w:rPr>
          <w:rFonts w:asciiTheme="minorEastAsia" w:hAnsiTheme="minorEastAsia" w:cs="ヒラギノ明朝 ProN W3"/>
          <w:kern w:val="0"/>
          <w:sz w:val="24"/>
          <w:szCs w:val="24"/>
        </w:rPr>
        <w:t>100</w:t>
      </w:r>
      <w:r w:rsidRPr="00D8107B">
        <w:rPr>
          <w:rFonts w:asciiTheme="minorEastAsia" w:hAnsiTheme="minorEastAsia" w:cs="ヒラギノ明朝 ProN W3" w:hint="eastAsia"/>
          <w:kern w:val="0"/>
          <w:sz w:val="24"/>
          <w:szCs w:val="24"/>
        </w:rPr>
        <w:t>万語までの多読入門期に適した代表的な英文図書（</w:t>
      </w:r>
      <w:r w:rsidRPr="00D8107B">
        <w:rPr>
          <w:rFonts w:asciiTheme="minorEastAsia" w:hAnsiTheme="minorEastAsia" w:cs="ヒラギノ明朝 ProN W3"/>
          <w:kern w:val="0"/>
          <w:sz w:val="24"/>
          <w:szCs w:val="24"/>
        </w:rPr>
        <w:t xml:space="preserve">GR, LR, </w:t>
      </w:r>
      <w:r w:rsidRPr="00D8107B">
        <w:rPr>
          <w:rFonts w:asciiTheme="minorEastAsia" w:hAnsiTheme="minorEastAsia" w:cs="ヒラギノ明朝 ProN W3" w:hint="eastAsia"/>
          <w:kern w:val="0"/>
          <w:sz w:val="24"/>
          <w:szCs w:val="24"/>
        </w:rPr>
        <w:t>絵本、児童書）を、読書量のゾーン毎に紹介します。</w:t>
      </w:r>
    </w:p>
    <w:p w:rsidR="00836A3D" w:rsidRPr="00D8107B" w:rsidRDefault="00836A3D">
      <w:pPr>
        <w:rPr>
          <w:rFonts w:asciiTheme="minorEastAsia" w:hAnsiTheme="minorEastAsia"/>
          <w:sz w:val="24"/>
          <w:szCs w:val="24"/>
        </w:rPr>
      </w:pPr>
    </w:p>
    <w:p w:rsidR="00836A3D" w:rsidRDefault="00836A3D" w:rsidP="00836A3D">
      <w:pPr>
        <w:rPr>
          <w:rFonts w:asciiTheme="minorEastAsia" w:hAnsiTheme="minorEastAsia"/>
          <w:b/>
          <w:sz w:val="24"/>
          <w:szCs w:val="24"/>
        </w:rPr>
      </w:pPr>
      <w:r w:rsidRPr="006C7B1D">
        <w:rPr>
          <w:rFonts w:asciiTheme="minorEastAsia" w:hAnsiTheme="minorEastAsia" w:hint="eastAsia"/>
          <w:b/>
          <w:sz w:val="24"/>
          <w:szCs w:val="24"/>
        </w:rPr>
        <w:t>「小学生の多読、中学生の多読」―楽しく続けるためにどう始める？どう進める？</w:t>
      </w:r>
    </w:p>
    <w:p w:rsidR="00836A3D" w:rsidRDefault="006C7B1D" w:rsidP="00836A3D">
      <w:pPr>
        <w:rPr>
          <w:rFonts w:ascii="ＭＳ Ｐ明朝" w:eastAsia="ＭＳ Ｐ明朝" w:hAnsi="ＭＳ Ｐ明朝"/>
        </w:rPr>
      </w:pPr>
      <w:r>
        <w:rPr>
          <w:rFonts w:asciiTheme="minorEastAsia" w:hAnsiTheme="minorEastAsia" w:hint="eastAsia"/>
          <w:b/>
          <w:sz w:val="24"/>
          <w:szCs w:val="24"/>
        </w:rPr>
        <w:t xml:space="preserve">　　　　　　　　　　　　　　　　　　　　　　　　　　　　　　　　　</w:t>
      </w:r>
      <w:r>
        <w:rPr>
          <w:rFonts w:ascii="ＭＳ Ｐ明朝" w:eastAsia="ＭＳ Ｐ明朝" w:hAnsi="ＭＳ Ｐ明朝" w:hint="eastAsia"/>
        </w:rPr>
        <w:t xml:space="preserve">　</w:t>
      </w:r>
      <w:r w:rsidRPr="00E22DA0">
        <w:rPr>
          <w:rFonts w:ascii="ＭＳ Ｐ明朝" w:eastAsia="ＭＳ Ｐ明朝" w:hAnsi="ＭＳ Ｐ明朝"/>
        </w:rPr>
        <w:t>山下陽子（鴎友学園）</w:t>
      </w:r>
    </w:p>
    <w:p w:rsidR="00836A3D" w:rsidRPr="00D8107B" w:rsidRDefault="00836A3D" w:rsidP="00836A3D">
      <w:pPr>
        <w:rPr>
          <w:rFonts w:asciiTheme="minorEastAsia" w:hAnsiTheme="minorEastAsia"/>
          <w:sz w:val="24"/>
          <w:szCs w:val="24"/>
        </w:rPr>
      </w:pPr>
      <w:r w:rsidRPr="00D8107B">
        <w:rPr>
          <w:rFonts w:asciiTheme="minorEastAsia" w:hAnsiTheme="minorEastAsia" w:hint="eastAsia"/>
          <w:sz w:val="24"/>
          <w:szCs w:val="24"/>
        </w:rPr>
        <w:t>多読を始める時、小学生でも中学生でも、楽しみながら読みの基礎力をつけることが大切である。しかし年齢や授業形態により相違点もある。小学生や中学生の具体的な多読の歩みを紹介し、生徒が楽しく読み続けるために必要な教師のサポートについても、アンケートの結果をもとに考察する。</w:t>
      </w:r>
    </w:p>
    <w:p w:rsidR="00836A3D" w:rsidRPr="00D8107B" w:rsidRDefault="00836A3D">
      <w:pPr>
        <w:rPr>
          <w:rFonts w:asciiTheme="minorEastAsia" w:hAnsiTheme="minorEastAsia"/>
          <w:sz w:val="24"/>
          <w:szCs w:val="24"/>
        </w:rPr>
      </w:pPr>
      <w:bookmarkStart w:id="0" w:name="_GoBack"/>
      <w:bookmarkEnd w:id="0"/>
    </w:p>
    <w:p w:rsidR="00836A3D" w:rsidRDefault="006C7B1D" w:rsidP="00836A3D">
      <w:pPr>
        <w:widowControl/>
        <w:jc w:val="left"/>
        <w:rPr>
          <w:rFonts w:asciiTheme="minorEastAsia" w:hAnsiTheme="minorEastAsia" w:cs="ＭＳ Ｐゴシック"/>
          <w:kern w:val="0"/>
          <w:sz w:val="24"/>
          <w:szCs w:val="24"/>
        </w:rPr>
      </w:pPr>
      <w:r w:rsidRPr="006C7B1D">
        <w:rPr>
          <w:rFonts w:asciiTheme="minorEastAsia" w:hAnsiTheme="minorEastAsia" w:cs="ＭＳ Ｐゴシック" w:hint="eastAsia"/>
          <w:b/>
          <w:kern w:val="0"/>
          <w:sz w:val="24"/>
          <w:szCs w:val="24"/>
        </w:rPr>
        <w:t>「</w:t>
      </w:r>
      <w:r w:rsidR="00836A3D" w:rsidRPr="006C7B1D">
        <w:rPr>
          <w:rFonts w:asciiTheme="minorEastAsia" w:hAnsiTheme="minorEastAsia" w:cs="ＭＳ Ｐゴシック"/>
          <w:b/>
          <w:kern w:val="0"/>
          <w:sz w:val="24"/>
          <w:szCs w:val="24"/>
        </w:rPr>
        <w:t>段階を経た多読指導とその成果</w:t>
      </w:r>
      <w:r w:rsidRPr="006C7B1D">
        <w:rPr>
          <w:rFonts w:asciiTheme="minorEastAsia" w:hAnsiTheme="minorEastAsia" w:cs="ＭＳ Ｐゴシック" w:hint="eastAsia"/>
          <w:b/>
          <w:kern w:val="0"/>
          <w:sz w:val="24"/>
          <w:szCs w:val="24"/>
        </w:rPr>
        <w:t>」</w:t>
      </w:r>
      <w:r>
        <w:rPr>
          <w:rFonts w:asciiTheme="minorEastAsia" w:hAnsiTheme="minorEastAsia" w:cs="ＭＳ Ｐゴシック" w:hint="eastAsia"/>
          <w:kern w:val="0"/>
          <w:sz w:val="24"/>
          <w:szCs w:val="24"/>
        </w:rPr>
        <w:t xml:space="preserve">　　　　　　　　　　　　</w:t>
      </w:r>
      <w:r w:rsidRPr="006C7B1D">
        <w:rPr>
          <w:rFonts w:asciiTheme="minorEastAsia" w:hAnsiTheme="minorEastAsia" w:cs="ＭＳ Ｐゴシック" w:hint="eastAsia"/>
          <w:kern w:val="0"/>
          <w:sz w:val="24"/>
          <w:szCs w:val="24"/>
        </w:rPr>
        <w:t>安福勝人（武庫川女子中高）</w:t>
      </w:r>
    </w:p>
    <w:p w:rsidR="00A10CE6" w:rsidRPr="00D8107B" w:rsidRDefault="00A10CE6" w:rsidP="00836A3D">
      <w:pPr>
        <w:widowControl/>
        <w:jc w:val="left"/>
        <w:rPr>
          <w:rFonts w:asciiTheme="minorEastAsia" w:hAnsiTheme="minorEastAsia" w:cs="ＭＳ Ｐゴシック"/>
          <w:kern w:val="0"/>
          <w:sz w:val="24"/>
          <w:szCs w:val="24"/>
        </w:rPr>
      </w:pPr>
    </w:p>
    <w:p w:rsidR="00836A3D" w:rsidRPr="00D8107B" w:rsidRDefault="00836A3D" w:rsidP="00836A3D">
      <w:pPr>
        <w:widowControl/>
        <w:jc w:val="left"/>
        <w:rPr>
          <w:rFonts w:asciiTheme="minorEastAsia" w:hAnsiTheme="minorEastAsia" w:cs="ＭＳ Ｐゴシック"/>
          <w:kern w:val="0"/>
          <w:sz w:val="24"/>
          <w:szCs w:val="24"/>
        </w:rPr>
      </w:pPr>
      <w:r w:rsidRPr="00D8107B">
        <w:rPr>
          <w:rFonts w:asciiTheme="minorEastAsia" w:hAnsiTheme="minorEastAsia" w:cs="ＭＳ Ｐゴシック"/>
          <w:kern w:val="0"/>
          <w:sz w:val="24"/>
          <w:szCs w:val="24"/>
        </w:rPr>
        <w:t>生徒個々の英語レベルを把握した上で、多読カルテを作成し、本人の好きな分野も理解した上で無理のない読書をすることにより、速読速解が可能となる。同じレベルの本ばかりを読むのではなく、少しづつ英語レベルを上げることにより、未知の単語の意味の類推を容易にする。</w:t>
      </w:r>
    </w:p>
    <w:p w:rsidR="00836A3D" w:rsidRPr="00D8107B" w:rsidRDefault="00836A3D">
      <w:pPr>
        <w:rPr>
          <w:rFonts w:asciiTheme="minorEastAsia" w:hAnsiTheme="minorEastAsia"/>
          <w:sz w:val="24"/>
          <w:szCs w:val="24"/>
        </w:rPr>
      </w:pPr>
    </w:p>
    <w:p w:rsidR="00836A3D" w:rsidRPr="006C7B1D" w:rsidRDefault="006C7B1D" w:rsidP="00836A3D">
      <w:pPr>
        <w:rPr>
          <w:rFonts w:asciiTheme="minorEastAsia" w:hAnsiTheme="minorEastAsia"/>
          <w:b/>
          <w:sz w:val="24"/>
          <w:szCs w:val="24"/>
        </w:rPr>
      </w:pPr>
      <w:r w:rsidRPr="006C7B1D">
        <w:rPr>
          <w:rFonts w:asciiTheme="minorEastAsia" w:hAnsiTheme="minorEastAsia" w:hint="eastAsia"/>
          <w:b/>
          <w:sz w:val="24"/>
          <w:szCs w:val="24"/>
        </w:rPr>
        <w:t>「</w:t>
      </w:r>
      <w:r w:rsidR="00836A3D" w:rsidRPr="006C7B1D">
        <w:rPr>
          <w:rFonts w:asciiTheme="minorEastAsia" w:hAnsiTheme="minorEastAsia" w:hint="eastAsia"/>
          <w:b/>
          <w:sz w:val="24"/>
          <w:szCs w:val="24"/>
        </w:rPr>
        <w:t>高専英語教育としての多読指導―背景・広がり・効果・課題―</w:t>
      </w:r>
      <w:r w:rsidRPr="006C7B1D">
        <w:rPr>
          <w:rFonts w:asciiTheme="minorEastAsia" w:hAnsiTheme="minorEastAsia" w:hint="eastAsia"/>
          <w:b/>
          <w:sz w:val="24"/>
          <w:szCs w:val="24"/>
        </w:rPr>
        <w:t>」</w:t>
      </w:r>
    </w:p>
    <w:p w:rsidR="006C7B1D" w:rsidRPr="00D8107B" w:rsidRDefault="006C7B1D" w:rsidP="006C7B1D">
      <w:pPr>
        <w:jc w:val="right"/>
        <w:rPr>
          <w:rFonts w:asciiTheme="minorEastAsia" w:hAnsiTheme="minorEastAsia"/>
          <w:sz w:val="24"/>
          <w:szCs w:val="24"/>
        </w:rPr>
      </w:pPr>
      <w:r w:rsidRPr="006C7B1D">
        <w:rPr>
          <w:rFonts w:asciiTheme="minorEastAsia" w:hAnsiTheme="minorEastAsia" w:hint="eastAsia"/>
          <w:sz w:val="24"/>
          <w:szCs w:val="24"/>
        </w:rPr>
        <w:t>藤井数馬</w:t>
      </w:r>
      <w:r>
        <w:rPr>
          <w:rFonts w:asciiTheme="minorEastAsia" w:hAnsiTheme="minorEastAsia" w:hint="eastAsia"/>
          <w:sz w:val="24"/>
          <w:szCs w:val="24"/>
        </w:rPr>
        <w:t>（</w:t>
      </w:r>
      <w:r w:rsidRPr="006C7B1D">
        <w:rPr>
          <w:rFonts w:asciiTheme="minorEastAsia" w:hAnsiTheme="minorEastAsia" w:hint="eastAsia"/>
          <w:sz w:val="24"/>
          <w:szCs w:val="24"/>
        </w:rPr>
        <w:t>沼津工業高等専門学校</w:t>
      </w:r>
      <w:r>
        <w:rPr>
          <w:rFonts w:asciiTheme="minorEastAsia" w:hAnsiTheme="minorEastAsia" w:hint="eastAsia"/>
          <w:sz w:val="24"/>
          <w:szCs w:val="24"/>
        </w:rPr>
        <w:t>）</w:t>
      </w:r>
    </w:p>
    <w:p w:rsidR="00836A3D" w:rsidRPr="00D8107B" w:rsidRDefault="00836A3D" w:rsidP="00836A3D">
      <w:pPr>
        <w:rPr>
          <w:rFonts w:asciiTheme="minorEastAsia" w:hAnsiTheme="minorEastAsia"/>
          <w:sz w:val="24"/>
          <w:szCs w:val="24"/>
        </w:rPr>
      </w:pPr>
      <w:r w:rsidRPr="00D8107B">
        <w:rPr>
          <w:rFonts w:asciiTheme="minorEastAsia" w:hAnsiTheme="minorEastAsia" w:hint="eastAsia"/>
          <w:sz w:val="24"/>
          <w:szCs w:val="24"/>
        </w:rPr>
        <w:t>豊田高専を筆頭に、高専における英語教育の手段の一つとして多読指導が選ばれ広がりを見せている。沼津高専においては平成</w:t>
      </w:r>
      <w:r w:rsidRPr="00D8107B">
        <w:rPr>
          <w:rFonts w:asciiTheme="minorEastAsia" w:hAnsiTheme="minorEastAsia"/>
          <w:sz w:val="24"/>
          <w:szCs w:val="24"/>
        </w:rPr>
        <w:t>24</w:t>
      </w:r>
      <w:r w:rsidRPr="00D8107B">
        <w:rPr>
          <w:rFonts w:asciiTheme="minorEastAsia" w:hAnsiTheme="minorEastAsia" w:hint="eastAsia"/>
          <w:sz w:val="24"/>
          <w:szCs w:val="24"/>
        </w:rPr>
        <w:t>年度から発表者の授業で、平成</w:t>
      </w:r>
      <w:r w:rsidRPr="00D8107B">
        <w:rPr>
          <w:rFonts w:asciiTheme="minorEastAsia" w:hAnsiTheme="minorEastAsia"/>
          <w:sz w:val="24"/>
          <w:szCs w:val="24"/>
        </w:rPr>
        <w:t>26</w:t>
      </w:r>
      <w:r w:rsidRPr="00D8107B">
        <w:rPr>
          <w:rFonts w:asciiTheme="minorEastAsia" w:hAnsiTheme="minorEastAsia" w:hint="eastAsia"/>
          <w:sz w:val="24"/>
          <w:szCs w:val="24"/>
        </w:rPr>
        <w:t>年度からは発表者を含む２名の英語教員の授業で、多読指導が定期的に行われている。本発表では、なぜ多読指導が高専に広く受け入れられているのか、その背景を高専という大きな枠組みで捉えて説明した後、その影響、指導状況、課題については沼津高専の個別の事例から説明を行う。</w:t>
      </w:r>
    </w:p>
    <w:p w:rsidR="00836A3D" w:rsidRPr="00D8107B" w:rsidRDefault="00836A3D">
      <w:pPr>
        <w:rPr>
          <w:rFonts w:asciiTheme="minorEastAsia" w:hAnsiTheme="minorEastAsia"/>
          <w:sz w:val="24"/>
          <w:szCs w:val="24"/>
        </w:rPr>
      </w:pPr>
    </w:p>
    <w:p w:rsidR="006C7B1D" w:rsidRPr="00595FD4" w:rsidRDefault="003D24AF">
      <w:pPr>
        <w:rPr>
          <w:rFonts w:asciiTheme="minorEastAsia" w:hAnsiTheme="minorEastAsia"/>
          <w:b/>
          <w:sz w:val="24"/>
          <w:szCs w:val="24"/>
        </w:rPr>
      </w:pPr>
      <w:r w:rsidRPr="00595FD4">
        <w:rPr>
          <w:rFonts w:asciiTheme="minorEastAsia" w:hAnsiTheme="minorEastAsia"/>
          <w:b/>
          <w:sz w:val="24"/>
          <w:szCs w:val="24"/>
        </w:rPr>
        <w:t>「大学英語リーディング授業での多読プログラムの活用」</w:t>
      </w:r>
    </w:p>
    <w:p w:rsidR="00836A3D" w:rsidRPr="00D8107B" w:rsidRDefault="006C7B1D" w:rsidP="00C13DBA">
      <w:pPr>
        <w:jc w:val="left"/>
        <w:rPr>
          <w:rFonts w:asciiTheme="minorEastAsia" w:hAnsiTheme="minorEastAsia"/>
          <w:sz w:val="24"/>
          <w:szCs w:val="24"/>
        </w:rPr>
      </w:pPr>
      <w:r w:rsidRPr="006C7B1D">
        <w:rPr>
          <w:rFonts w:asciiTheme="minorEastAsia" w:hAnsiTheme="minorEastAsia" w:hint="eastAsia"/>
          <w:sz w:val="24"/>
          <w:szCs w:val="24"/>
        </w:rPr>
        <w:t>柏原郁子</w:t>
      </w:r>
      <w:r w:rsidR="00595FD4">
        <w:rPr>
          <w:rFonts w:asciiTheme="minorEastAsia" w:hAnsiTheme="minorEastAsia" w:hint="eastAsia"/>
          <w:sz w:val="24"/>
          <w:szCs w:val="24"/>
        </w:rPr>
        <w:t>（</w:t>
      </w:r>
      <w:r w:rsidRPr="006C7B1D">
        <w:rPr>
          <w:rFonts w:asciiTheme="minorEastAsia" w:hAnsiTheme="minorEastAsia" w:hint="eastAsia"/>
          <w:sz w:val="24"/>
          <w:szCs w:val="24"/>
        </w:rPr>
        <w:t>大阪電気通信大学英語教育センター</w:t>
      </w:r>
      <w:r w:rsidR="00595FD4">
        <w:rPr>
          <w:rFonts w:asciiTheme="minorEastAsia" w:hAnsiTheme="minorEastAsia" w:hint="eastAsia"/>
          <w:sz w:val="24"/>
          <w:szCs w:val="24"/>
        </w:rPr>
        <w:t>）</w:t>
      </w:r>
      <w:r w:rsidR="003D24AF" w:rsidRPr="00D8107B">
        <w:rPr>
          <w:rFonts w:asciiTheme="minorEastAsia" w:hAnsiTheme="minorEastAsia"/>
          <w:sz w:val="24"/>
          <w:szCs w:val="24"/>
        </w:rPr>
        <w:br/>
        <w:t>大阪電気通信大学では2012年9月から多読プログラム：リーディングシャワーを導入している。英語リーディングの授業で、多読プログラムをどのように活用し、どのように指導しているかを報告する。また英語力を伸ばすために、多聴・速読演習も授業内で取り入れており、それらの効果的な指導法も紹介する。</w:t>
      </w:r>
    </w:p>
    <w:sectPr w:rsidR="00836A3D" w:rsidRPr="00D8107B" w:rsidSect="006C7B1D">
      <w:pgSz w:w="12240" w:h="15840"/>
      <w:pgMar w:top="1440" w:right="1080" w:bottom="1440" w:left="1080" w:header="720" w:footer="720" w:gutter="0"/>
      <w:cols w:space="425"/>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ヒラギノ明朝 ProN W3">
    <w:altName w:val="ＭＳ 明朝"/>
    <w:charset w:val="80"/>
    <w:family w:val="auto"/>
    <w:pitch w:val="variable"/>
    <w:sig w:usb0="00000000" w:usb1="7AC7FFFF" w:usb2="00000012" w:usb3="00000000" w:csb0="0002000D"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A3D"/>
    <w:rsid w:val="000D64B8"/>
    <w:rsid w:val="00172729"/>
    <w:rsid w:val="003D24AF"/>
    <w:rsid w:val="00595FD4"/>
    <w:rsid w:val="006C7B1D"/>
    <w:rsid w:val="00836A3D"/>
    <w:rsid w:val="00A10CE6"/>
    <w:rsid w:val="00B27226"/>
    <w:rsid w:val="00BA27CE"/>
    <w:rsid w:val="00C13DBA"/>
    <w:rsid w:val="00C911B2"/>
    <w:rsid w:val="00D8107B"/>
    <w:rsid w:val="00DB152A"/>
    <w:rsid w:val="00E3595C"/>
    <w:rsid w:val="00F60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B48DD93-4580-44E4-9A5B-1EC5329AA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C7B1D"/>
    <w:rPr>
      <w:sz w:val="18"/>
      <w:szCs w:val="18"/>
    </w:rPr>
  </w:style>
  <w:style w:type="paragraph" w:styleId="a4">
    <w:name w:val="annotation text"/>
    <w:basedOn w:val="a"/>
    <w:link w:val="a5"/>
    <w:uiPriority w:val="99"/>
    <w:semiHidden/>
    <w:unhideWhenUsed/>
    <w:rsid w:val="006C7B1D"/>
    <w:pPr>
      <w:jc w:val="left"/>
    </w:pPr>
  </w:style>
  <w:style w:type="character" w:customStyle="1" w:styleId="a5">
    <w:name w:val="コメント文字列 (文字)"/>
    <w:basedOn w:val="a0"/>
    <w:link w:val="a4"/>
    <w:uiPriority w:val="99"/>
    <w:semiHidden/>
    <w:rsid w:val="006C7B1D"/>
  </w:style>
  <w:style w:type="paragraph" w:styleId="a6">
    <w:name w:val="annotation subject"/>
    <w:basedOn w:val="a4"/>
    <w:next w:val="a4"/>
    <w:link w:val="a7"/>
    <w:uiPriority w:val="99"/>
    <w:semiHidden/>
    <w:unhideWhenUsed/>
    <w:rsid w:val="006C7B1D"/>
    <w:rPr>
      <w:b/>
      <w:bCs/>
    </w:rPr>
  </w:style>
  <w:style w:type="character" w:customStyle="1" w:styleId="a7">
    <w:name w:val="コメント内容 (文字)"/>
    <w:basedOn w:val="a5"/>
    <w:link w:val="a6"/>
    <w:uiPriority w:val="99"/>
    <w:semiHidden/>
    <w:rsid w:val="006C7B1D"/>
    <w:rPr>
      <w:b/>
      <w:bCs/>
    </w:rPr>
  </w:style>
  <w:style w:type="paragraph" w:styleId="a8">
    <w:name w:val="Balloon Text"/>
    <w:basedOn w:val="a"/>
    <w:link w:val="a9"/>
    <w:uiPriority w:val="99"/>
    <w:semiHidden/>
    <w:unhideWhenUsed/>
    <w:rsid w:val="006C7B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7B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232100">
      <w:bodyDiv w:val="1"/>
      <w:marLeft w:val="0"/>
      <w:marRight w:val="0"/>
      <w:marTop w:val="0"/>
      <w:marBottom w:val="0"/>
      <w:divBdr>
        <w:top w:val="none" w:sz="0" w:space="0" w:color="auto"/>
        <w:left w:val="none" w:sz="0" w:space="0" w:color="auto"/>
        <w:bottom w:val="none" w:sz="0" w:space="0" w:color="auto"/>
        <w:right w:val="none" w:sz="0" w:space="0" w:color="auto"/>
      </w:divBdr>
    </w:div>
    <w:div w:id="1731031163">
      <w:bodyDiv w:val="1"/>
      <w:marLeft w:val="0"/>
      <w:marRight w:val="0"/>
      <w:marTop w:val="0"/>
      <w:marBottom w:val="0"/>
      <w:divBdr>
        <w:top w:val="none" w:sz="0" w:space="0" w:color="auto"/>
        <w:left w:val="none" w:sz="0" w:space="0" w:color="auto"/>
        <w:bottom w:val="none" w:sz="0" w:space="0" w:color="auto"/>
        <w:right w:val="none" w:sz="0" w:space="0" w:color="auto"/>
      </w:divBdr>
      <w:divsChild>
        <w:div w:id="808598715">
          <w:marLeft w:val="0"/>
          <w:marRight w:val="0"/>
          <w:marTop w:val="0"/>
          <w:marBottom w:val="0"/>
          <w:divBdr>
            <w:top w:val="none" w:sz="0" w:space="0" w:color="auto"/>
            <w:left w:val="none" w:sz="0" w:space="0" w:color="auto"/>
            <w:bottom w:val="none" w:sz="0" w:space="0" w:color="auto"/>
            <w:right w:val="none" w:sz="0" w:space="0" w:color="auto"/>
          </w:divBdr>
        </w:div>
        <w:div w:id="1515919211">
          <w:marLeft w:val="0"/>
          <w:marRight w:val="0"/>
          <w:marTop w:val="0"/>
          <w:marBottom w:val="0"/>
          <w:divBdr>
            <w:top w:val="none" w:sz="0" w:space="0" w:color="auto"/>
            <w:left w:val="none" w:sz="0" w:space="0" w:color="auto"/>
            <w:bottom w:val="none" w:sz="0" w:space="0" w:color="auto"/>
            <w:right w:val="none" w:sz="0" w:space="0" w:color="auto"/>
          </w:divBdr>
        </w:div>
        <w:div w:id="1962683782">
          <w:marLeft w:val="0"/>
          <w:marRight w:val="0"/>
          <w:marTop w:val="0"/>
          <w:marBottom w:val="0"/>
          <w:divBdr>
            <w:top w:val="none" w:sz="0" w:space="0" w:color="auto"/>
            <w:left w:val="none" w:sz="0" w:space="0" w:color="auto"/>
            <w:bottom w:val="none" w:sz="0" w:space="0" w:color="auto"/>
            <w:right w:val="none" w:sz="0" w:space="0" w:color="auto"/>
          </w:divBdr>
        </w:div>
        <w:div w:id="139226416">
          <w:marLeft w:val="0"/>
          <w:marRight w:val="0"/>
          <w:marTop w:val="0"/>
          <w:marBottom w:val="0"/>
          <w:divBdr>
            <w:top w:val="none" w:sz="0" w:space="0" w:color="auto"/>
            <w:left w:val="none" w:sz="0" w:space="0" w:color="auto"/>
            <w:bottom w:val="none" w:sz="0" w:space="0" w:color="auto"/>
            <w:right w:val="none" w:sz="0" w:space="0" w:color="auto"/>
          </w:divBdr>
        </w:div>
        <w:div w:id="1641303440">
          <w:marLeft w:val="0"/>
          <w:marRight w:val="0"/>
          <w:marTop w:val="0"/>
          <w:marBottom w:val="0"/>
          <w:divBdr>
            <w:top w:val="none" w:sz="0" w:space="0" w:color="auto"/>
            <w:left w:val="none" w:sz="0" w:space="0" w:color="auto"/>
            <w:bottom w:val="none" w:sz="0" w:space="0" w:color="auto"/>
            <w:right w:val="none" w:sz="0" w:space="0" w:color="auto"/>
          </w:divBdr>
        </w:div>
        <w:div w:id="959606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536</Words>
  <Characters>3056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Atsugoro</dc:creator>
  <cp:lastModifiedBy>fakio</cp:lastModifiedBy>
  <cp:revision>3</cp:revision>
  <dcterms:created xsi:type="dcterms:W3CDTF">2016-01-05T08:37:00Z</dcterms:created>
  <dcterms:modified xsi:type="dcterms:W3CDTF">2016-01-05T08:38:00Z</dcterms:modified>
</cp:coreProperties>
</file>